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8C" w:rsidRPr="0060188C" w:rsidRDefault="0060188C" w:rsidP="00601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8C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614E27" w:rsidRDefault="0060188C" w:rsidP="00601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8C">
        <w:rPr>
          <w:rFonts w:ascii="Times New Roman" w:hAnsi="Times New Roman" w:cs="Times New Roman"/>
          <w:b/>
          <w:sz w:val="28"/>
          <w:szCs w:val="28"/>
        </w:rPr>
        <w:t xml:space="preserve">Đơn giá </w:t>
      </w:r>
      <w:r w:rsidR="00EA7514">
        <w:rPr>
          <w:rFonts w:ascii="Times New Roman" w:hAnsi="Times New Roman" w:cs="Times New Roman"/>
          <w:b/>
          <w:bCs/>
          <w:color w:val="212529"/>
          <w:sz w:val="28"/>
          <w:szCs w:val="28"/>
        </w:rPr>
        <w:t>ứng phó và xử lý sự cố bức xạ</w:t>
      </w:r>
      <w:r w:rsidR="00BA49AB">
        <w:rPr>
          <w:rFonts w:ascii="Times New Roman" w:hAnsi="Times New Roman" w:cs="Times New Roman"/>
          <w:b/>
          <w:bCs/>
          <w:color w:val="212529"/>
          <w:sz w:val="28"/>
          <w:szCs w:val="28"/>
        </w:rPr>
        <w:t>.</w:t>
      </w:r>
      <w:r w:rsidR="00EA7514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sự cố hạt nhân; đo liều chiếu xạ cá nhân; kiểm định</w:t>
      </w:r>
      <w:r w:rsidR="00BA49AB">
        <w:rPr>
          <w:rFonts w:ascii="Times New Roman" w:hAnsi="Times New Roman" w:cs="Times New Roman"/>
          <w:b/>
          <w:bCs/>
          <w:color w:val="212529"/>
          <w:sz w:val="28"/>
          <w:szCs w:val="28"/>
        </w:rPr>
        <w:t>.</w:t>
      </w:r>
      <w:r w:rsidR="00EA7514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hiệu chuẩn thiết bị ghi đo bức xạ </w:t>
      </w:r>
      <w:r w:rsidRPr="0060188C">
        <w:rPr>
          <w:rFonts w:ascii="Times New Roman" w:hAnsi="Times New Roman" w:cs="Times New Roman"/>
          <w:b/>
          <w:sz w:val="28"/>
          <w:szCs w:val="28"/>
        </w:rPr>
        <w:t>trên địa bàn tỉnh Đồng Nai</w:t>
      </w:r>
    </w:p>
    <w:p w:rsidR="0060188C" w:rsidRDefault="0060188C" w:rsidP="006018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88C">
        <w:rPr>
          <w:rFonts w:ascii="Times New Roman" w:hAnsi="Times New Roman" w:cs="Times New Roman"/>
          <w:i/>
          <w:sz w:val="28"/>
          <w:szCs w:val="28"/>
        </w:rPr>
        <w:t>(Ban hành kèm theo Quyết định số</w:t>
      </w:r>
      <w:r w:rsidR="00EA7514">
        <w:rPr>
          <w:rFonts w:ascii="Times New Roman" w:hAnsi="Times New Roman" w:cs="Times New Roman"/>
          <w:i/>
          <w:sz w:val="28"/>
          <w:szCs w:val="28"/>
        </w:rPr>
        <w:t xml:space="preserve">     /2024</w:t>
      </w:r>
      <w:r w:rsidRPr="0060188C">
        <w:rPr>
          <w:rFonts w:ascii="Times New Roman" w:hAnsi="Times New Roman" w:cs="Times New Roman"/>
          <w:i/>
          <w:sz w:val="28"/>
          <w:szCs w:val="28"/>
        </w:rPr>
        <w:t>/QĐ-UBND ngày   tháng    năm      của Ủy ban nhân dân tỉnh Đồng Nai)</w:t>
      </w:r>
    </w:p>
    <w:p w:rsidR="0060188C" w:rsidRDefault="0060188C" w:rsidP="006018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17"/>
        <w:gridCol w:w="2628"/>
        <w:gridCol w:w="70"/>
        <w:gridCol w:w="1347"/>
        <w:gridCol w:w="1476"/>
        <w:gridCol w:w="1348"/>
        <w:gridCol w:w="1459"/>
        <w:gridCol w:w="1350"/>
        <w:gridCol w:w="1341"/>
        <w:gridCol w:w="1514"/>
        <w:gridCol w:w="1514"/>
      </w:tblGrid>
      <w:tr w:rsidR="00643B23" w:rsidRPr="006649AB" w:rsidTr="00643B23">
        <w:trPr>
          <w:trHeight w:val="330"/>
        </w:trPr>
        <w:tc>
          <w:tcPr>
            <w:tcW w:w="917" w:type="dxa"/>
            <w:vMerge w:val="restart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2628" w:type="dxa"/>
            <w:vMerge w:val="restart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Tên sản phẩm</w:t>
            </w:r>
          </w:p>
        </w:tc>
        <w:tc>
          <w:tcPr>
            <w:tcW w:w="1417" w:type="dxa"/>
            <w:gridSpan w:val="2"/>
            <w:vMerge w:val="restart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Đơn vị tính</w:t>
            </w:r>
          </w:p>
        </w:tc>
        <w:tc>
          <w:tcPr>
            <w:tcW w:w="4283" w:type="dxa"/>
            <w:gridSpan w:val="3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Chi phí trực tiếp</w:t>
            </w:r>
          </w:p>
        </w:tc>
        <w:tc>
          <w:tcPr>
            <w:tcW w:w="2691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Chi phí chung 15%</w:t>
            </w:r>
          </w:p>
        </w:tc>
        <w:tc>
          <w:tcPr>
            <w:tcW w:w="3028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Đơn giá sản phẩm</w:t>
            </w:r>
          </w:p>
        </w:tc>
      </w:tr>
      <w:tr w:rsidR="006649AB" w:rsidRPr="006649AB" w:rsidTr="00643B23">
        <w:trPr>
          <w:trHeight w:val="983"/>
        </w:trPr>
        <w:tc>
          <w:tcPr>
            <w:tcW w:w="917" w:type="dxa"/>
            <w:vMerge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2628" w:type="dxa"/>
            <w:vMerge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Nhân công</w:t>
            </w:r>
          </w:p>
        </w:tc>
        <w:tc>
          <w:tcPr>
            <w:tcW w:w="1348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Máy móc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,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thiết bị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Vật liệu</w:t>
            </w:r>
          </w:p>
        </w:tc>
        <w:tc>
          <w:tcPr>
            <w:tcW w:w="1350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Bao gồm khấu hao</w:t>
            </w:r>
          </w:p>
        </w:tc>
        <w:tc>
          <w:tcPr>
            <w:tcW w:w="1341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Không bao gồm khấu hao</w:t>
            </w:r>
          </w:p>
        </w:tc>
        <w:tc>
          <w:tcPr>
            <w:tcW w:w="1514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Bao gồm khấu hao</w:t>
            </w:r>
          </w:p>
        </w:tc>
        <w:tc>
          <w:tcPr>
            <w:tcW w:w="1514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Không bao gồm khấu hao</w:t>
            </w:r>
          </w:p>
        </w:tc>
      </w:tr>
      <w:tr w:rsidR="006649AB" w:rsidRPr="006649AB" w:rsidTr="00643B23">
        <w:trPr>
          <w:trHeight w:val="51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I</w:t>
            </w:r>
          </w:p>
        </w:tc>
        <w:tc>
          <w:tcPr>
            <w:tcW w:w="14047" w:type="dxa"/>
            <w:gridSpan w:val="10"/>
            <w:noWrap/>
            <w:vAlign w:val="center"/>
            <w:hideMark/>
          </w:tcPr>
          <w:p w:rsidR="006649AB" w:rsidRPr="008A6F6A" w:rsidRDefault="006649AB" w:rsidP="008A6F6A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ĐỊNH MỨC KINH TẾ - KỸ THUẬT ỨNG PHÓ SỰ CỐ VÀ XỬ LÝ SỰ CỐ BỨC XẠ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,</w:t>
            </w:r>
            <w:bookmarkStart w:id="0" w:name="_GoBack"/>
            <w:bookmarkEnd w:id="0"/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SỰ CỐ HẠT NHÂN.</w:t>
            </w:r>
          </w:p>
        </w:tc>
      </w:tr>
      <w:tr w:rsidR="008A6F6A" w:rsidRPr="006649AB" w:rsidTr="00643B23">
        <w:trPr>
          <w:trHeight w:val="66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Tiếp nhận và xử lý thông tin sự cố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Thông tin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849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594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666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777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189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110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174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627</w:t>
            </w:r>
          </w:p>
        </w:tc>
      </w:tr>
      <w:tr w:rsidR="008A6F6A" w:rsidRPr="006649AB" w:rsidTr="00643B23">
        <w:trPr>
          <w:trHeight w:val="99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Đánh giá tình trạng sự cố và xác định mức báo động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Sự cố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173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311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563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014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633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581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628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097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857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454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815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407</w:t>
            </w:r>
          </w:p>
        </w:tc>
      </w:tr>
      <w:tr w:rsidR="008A6F6A" w:rsidRPr="006649AB" w:rsidTr="00643B23">
        <w:trPr>
          <w:trHeight w:val="66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Lập phương án xử lý tại hiện trường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Phương án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118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907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880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965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301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949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836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15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067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308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14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948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743</w:t>
            </w:r>
          </w:p>
        </w:tc>
      </w:tr>
      <w:tr w:rsidR="008A6F6A" w:rsidRPr="006649AB" w:rsidTr="00643B23">
        <w:trPr>
          <w:trHeight w:val="39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Tìm nguồn phóng xạ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Nguồn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418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146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050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966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118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609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652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576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006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491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998</w:t>
            </w:r>
          </w:p>
        </w:tc>
      </w:tr>
      <w:tr w:rsidR="008A6F6A" w:rsidRPr="006649AB" w:rsidTr="00643B23">
        <w:trPr>
          <w:trHeight w:val="66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Thu hồi nguồn phóng xạ nhóm 1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Nguồn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151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421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657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900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219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404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323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305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638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433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144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676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559</w:t>
            </w:r>
          </w:p>
        </w:tc>
      </w:tr>
      <w:tr w:rsidR="008A6F6A" w:rsidRPr="006649AB" w:rsidTr="00643B23">
        <w:trPr>
          <w:trHeight w:val="66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5.1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Thu hồi nguồn phóng xạ nhóm 2-3</w:t>
            </w:r>
            <w:r w:rsidR="008A6F6A">
              <w:rPr>
                <w:rFonts w:ascii="Times New Roman" w:hAnsi="Times New Roman" w:cs="Times New Roman"/>
                <w:sz w:val="25"/>
                <w:szCs w:val="25"/>
              </w:rPr>
              <w:t xml:space="preserve"> hoặc nguồn phóng xạ hở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Nguồn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011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550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246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788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219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821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676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784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658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299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513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015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708</w:t>
            </w:r>
          </w:p>
        </w:tc>
      </w:tr>
      <w:tr w:rsidR="008A6F6A" w:rsidRPr="006649AB" w:rsidTr="00643B23">
        <w:trPr>
          <w:trHeight w:val="66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5.2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Thu hồi nguồn phóng xạ nhóm 4-5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Nguồn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534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020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140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600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429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250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915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580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894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490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30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019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450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29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857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760</w:t>
            </w:r>
          </w:p>
        </w:tc>
      </w:tr>
      <w:tr w:rsidR="008A6F6A" w:rsidRPr="006649AB" w:rsidTr="00643B23">
        <w:trPr>
          <w:trHeight w:val="33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Cung cấp thông tin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Thông tin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385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322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224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630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213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358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722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165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635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743</w:t>
            </w:r>
          </w:p>
        </w:tc>
      </w:tr>
      <w:tr w:rsidR="008A6F6A" w:rsidRPr="006649AB" w:rsidTr="00643B23">
        <w:trPr>
          <w:trHeight w:val="66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xạ và tẩy xạ môi trường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Khu vực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275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988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181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860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970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264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177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086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898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147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692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025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146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332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886</w:t>
            </w:r>
          </w:p>
        </w:tc>
      </w:tr>
      <w:tr w:rsidR="008A6F6A" w:rsidRPr="006649AB" w:rsidTr="00643B23">
        <w:trPr>
          <w:trHeight w:val="33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8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xạ và tẩy xạ người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Khu vực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065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514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332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774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750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840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926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040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298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104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14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766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304</w:t>
            </w:r>
          </w:p>
        </w:tc>
      </w:tr>
      <w:tr w:rsidR="008A6F6A" w:rsidRPr="006649AB" w:rsidTr="00643B23">
        <w:trPr>
          <w:trHeight w:val="66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Đánh giá liều bức xạ trong sự cố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Sự cố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303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956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600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297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246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833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240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892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390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841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100</w:t>
            </w:r>
          </w:p>
        </w:tc>
      </w:tr>
      <w:tr w:rsidR="008A6F6A" w:rsidRPr="006649AB" w:rsidTr="00643B23">
        <w:trPr>
          <w:trHeight w:val="1005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8A6F6A" w:rsidRPr="008A6F6A">
              <w:rPr>
                <w:rFonts w:ascii="Times New Roman" w:hAnsi="Times New Roman" w:cs="Times New Roman"/>
                <w:sz w:val="25"/>
                <w:szCs w:val="25"/>
              </w:rPr>
              <w:t>.1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Giám định hạt nhân tại hiện trường - Trường hợp trực tiếp lấy mẫu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Công việc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534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020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740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166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250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668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351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655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040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457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361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355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310</w:t>
            </w:r>
          </w:p>
        </w:tc>
      </w:tr>
      <w:tr w:rsidR="008A6F6A" w:rsidRPr="006649AB" w:rsidTr="00643B23">
        <w:trPr>
          <w:trHeight w:val="1335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8A6F6A" w:rsidRPr="008A6F6A">
              <w:rPr>
                <w:rFonts w:ascii="Times New Roman" w:hAnsi="Times New Roman" w:cs="Times New Roman"/>
                <w:sz w:val="25"/>
                <w:szCs w:val="25"/>
              </w:rPr>
              <w:t>.2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Giám định hạt nhân tại hiện trường - Trường hợp sử dụng phương tiện thu thập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Công việc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672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585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238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765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945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250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490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092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675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985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090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710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510</w:t>
            </w:r>
          </w:p>
        </w:tc>
      </w:tr>
      <w:tr w:rsidR="008A6F6A" w:rsidRPr="006649AB" w:rsidTr="00643B23">
        <w:trPr>
          <w:trHeight w:val="66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Lập kế hoạch khắc phục sự cố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Sự cố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815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635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349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337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775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324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695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589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611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489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331</w:t>
            </w:r>
          </w:p>
        </w:tc>
      </w:tr>
      <w:tr w:rsidR="008A6F6A" w:rsidRPr="006649AB" w:rsidTr="00643B23">
        <w:trPr>
          <w:trHeight w:val="735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Xử lý sơ bộ chất thải phóng xạ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Sự cố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396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522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119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384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250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334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966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017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116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234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737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797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887</w:t>
            </w:r>
          </w:p>
        </w:tc>
      </w:tr>
      <w:tr w:rsidR="008A6F6A" w:rsidRPr="006649AB" w:rsidTr="00643B23">
        <w:trPr>
          <w:trHeight w:val="132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Thông báo về sự cố cho quốc gia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 xml:space="preserve"> tổ chức quốc tế và đề nghị trợ giúp quốc tế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Sự cố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895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746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850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349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889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086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712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455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485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331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458</w:t>
            </w:r>
          </w:p>
        </w:tc>
      </w:tr>
      <w:tr w:rsidR="008A6F6A" w:rsidRPr="006649AB" w:rsidTr="00643B23">
        <w:trPr>
          <w:trHeight w:val="231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="008A6F6A" w:rsidRPr="008A6F6A">
              <w:rPr>
                <w:rFonts w:ascii="Times New Roman" w:hAnsi="Times New Roman" w:cs="Times New Roman"/>
                <w:sz w:val="25"/>
                <w:szCs w:val="25"/>
              </w:rPr>
              <w:t>.1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 xml:space="preserve">Đánh giá phát tán chất phóng xạ trong môi trường không khí - 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br/>
              <w:t>Trường hợp đánh giá phát tán đối với sự cố liên quan tới nguồn phóng xạ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Công việc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313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610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070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591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604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902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135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691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637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582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040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301</w:t>
            </w:r>
          </w:p>
        </w:tc>
      </w:tr>
      <w:tr w:rsidR="008A6F6A" w:rsidRPr="006649AB" w:rsidTr="00643B23">
        <w:trPr>
          <w:trHeight w:val="198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14</w:t>
            </w:r>
            <w:r w:rsidR="008A6F6A" w:rsidRPr="008A6F6A">
              <w:rPr>
                <w:rFonts w:ascii="Times New Roman" w:hAnsi="Times New Roman" w:cs="Times New Roman"/>
                <w:sz w:val="25"/>
                <w:szCs w:val="25"/>
              </w:rPr>
              <w:t>.2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 xml:space="preserve">Đánh giá phát tán chất phóng xạ trong môi trường không khí - 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br/>
              <w:t>Trường hợp đánh giá phát tán đối với sự cố nhà máy điện hạt nhân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Công việc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627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219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590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652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778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571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191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883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44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302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381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471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102</w:t>
            </w:r>
          </w:p>
        </w:tc>
      </w:tr>
      <w:tr w:rsidR="008A6F6A" w:rsidRPr="006649AB" w:rsidTr="00643B23">
        <w:trPr>
          <w:trHeight w:val="2325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="008A6F6A" w:rsidRPr="008A6F6A">
              <w:rPr>
                <w:rFonts w:ascii="Times New Roman" w:hAnsi="Times New Roman" w:cs="Times New Roman"/>
                <w:sz w:val="25"/>
                <w:szCs w:val="25"/>
              </w:rPr>
              <w:t>.1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Đánh giá phát tán chất phóng xạ trong môi trường nước - Trường hợp đánh giá phát tán đối với sự cố liên quan tới nguồn phóng xạ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Công việc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836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293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155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065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372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654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504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181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017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861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389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536</w:t>
            </w:r>
          </w:p>
        </w:tc>
      </w:tr>
      <w:tr w:rsidR="008A6F6A" w:rsidRPr="006649AB" w:rsidTr="00643B23">
        <w:trPr>
          <w:trHeight w:val="198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="008A6F6A" w:rsidRPr="008A6F6A">
              <w:rPr>
                <w:rFonts w:ascii="Times New Roman" w:hAnsi="Times New Roman" w:cs="Times New Roman"/>
                <w:sz w:val="25"/>
                <w:szCs w:val="25"/>
              </w:rPr>
              <w:t>.2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Đánh giá phát tán chất phóng xạ trong môi trường nước - Trường hợp đánh giá phát tán đối với sự cố nhà máy điện hạt nhân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Công việc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254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439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265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650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574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214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113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274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266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308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202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102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705</w:t>
            </w:r>
          </w:p>
        </w:tc>
      </w:tr>
      <w:tr w:rsidR="006649AB" w:rsidRPr="006649AB" w:rsidTr="00643B23">
        <w:trPr>
          <w:trHeight w:val="45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643B2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II</w:t>
            </w:r>
          </w:p>
        </w:tc>
        <w:tc>
          <w:tcPr>
            <w:tcW w:w="14047" w:type="dxa"/>
            <w:gridSpan w:val="10"/>
            <w:noWrap/>
            <w:vAlign w:val="center"/>
            <w:hideMark/>
          </w:tcPr>
          <w:p w:rsidR="006649AB" w:rsidRPr="008A6F6A" w:rsidRDefault="006649AB" w:rsidP="00643B23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ĐO LIỀU CHIẾU XẠ CÁ NHÂN</w:t>
            </w:r>
          </w:p>
        </w:tc>
      </w:tr>
      <w:tr w:rsidR="006649AB" w:rsidRPr="006649AB" w:rsidTr="00643B23">
        <w:trPr>
          <w:trHeight w:val="66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Đo liều chiếu xạ cá nhân.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Công việc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132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161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982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850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445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147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532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409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130</w:t>
            </w:r>
          </w:p>
        </w:tc>
      </w:tr>
      <w:tr w:rsidR="006649AB" w:rsidRPr="006649AB" w:rsidTr="00643B23">
        <w:trPr>
          <w:trHeight w:val="99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xạ phòng chụp X-Quang tổng hợp dùng trong y tế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Khu vực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858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300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361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840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263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409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254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805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019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470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953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505</w:t>
            </w:r>
          </w:p>
        </w:tc>
      </w:tr>
      <w:tr w:rsidR="006649AB" w:rsidRPr="006649AB" w:rsidTr="00643B23">
        <w:trPr>
          <w:trHeight w:val="297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2628" w:type="dxa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xạ thiết bị phát bức xạ cố định dùng trong công nghiệ</w:t>
            </w:r>
            <w:r w:rsidR="00643B23">
              <w:rPr>
                <w:rFonts w:ascii="Times New Roman" w:hAnsi="Times New Roman" w:cs="Times New Roman"/>
                <w:sz w:val="25"/>
                <w:szCs w:val="25"/>
              </w:rPr>
              <w:t>p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( thiết bị phân tích huỳnh quang tia X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 xml:space="preserve"> thiết bị soi kiểm tra bo mạch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 xml:space="preserve"> soi kiểm tra an ninh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 xml:space="preserve"> thiết bị đo chiều dày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 xml:space="preserve"> thiết bị đo mức)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Khu vực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643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725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361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808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226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498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217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894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736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484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670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519</w:t>
            </w:r>
          </w:p>
        </w:tc>
      </w:tr>
      <w:tr w:rsidR="006649AB" w:rsidRPr="006649AB" w:rsidTr="00643B23">
        <w:trPr>
          <w:trHeight w:val="54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643B23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III</w:t>
            </w:r>
          </w:p>
        </w:tc>
        <w:tc>
          <w:tcPr>
            <w:tcW w:w="14047" w:type="dxa"/>
            <w:gridSpan w:val="10"/>
            <w:noWrap/>
            <w:vAlign w:val="center"/>
            <w:hideMark/>
          </w:tcPr>
          <w:p w:rsidR="006649AB" w:rsidRPr="008A6F6A" w:rsidRDefault="006649AB" w:rsidP="00643B23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KIỂM ĐỊNH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,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HIỆU CHUẨN THIẾT BỊ GHI ĐO BỨC XẠ</w:t>
            </w:r>
          </w:p>
        </w:tc>
      </w:tr>
      <w:tr w:rsidR="006649AB" w:rsidRPr="006649AB" w:rsidTr="00643B23">
        <w:trPr>
          <w:trHeight w:val="66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698" w:type="dxa"/>
            <w:gridSpan w:val="2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Hiệu chuẩn thiết bị ghi đo bức xạ đa năng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358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975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929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071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383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506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364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616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940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210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795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392</w:t>
            </w:r>
          </w:p>
        </w:tc>
      </w:tr>
      <w:tr w:rsidR="006649AB" w:rsidRPr="006649AB" w:rsidTr="00643B23">
        <w:trPr>
          <w:trHeight w:val="99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698" w:type="dxa"/>
            <w:gridSpan w:val="2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Hiệu chuẩn thiết bị ghi đo bức xạ với nguồn Gamma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464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913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238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813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490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179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312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373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359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098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725</w:t>
            </w:r>
          </w:p>
        </w:tc>
      </w:tr>
      <w:tr w:rsidR="006649AB" w:rsidRPr="006649AB" w:rsidTr="00643B23">
        <w:trPr>
          <w:trHeight w:val="99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698" w:type="dxa"/>
            <w:gridSpan w:val="2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Hiệu chuẩn thiết bị ghi đo bức xạ với nguồn tia X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464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913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238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813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490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179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312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373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359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098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725</w:t>
            </w:r>
          </w:p>
        </w:tc>
      </w:tr>
      <w:tr w:rsidR="006649AB" w:rsidRPr="006649AB" w:rsidTr="00643B23">
        <w:trPr>
          <w:trHeight w:val="117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698" w:type="dxa"/>
            <w:gridSpan w:val="2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Hiệu chuẩn thiết bị ghi đo bức xạ với nguồn tia Beta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464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913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238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813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490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179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312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373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359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098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725</w:t>
            </w:r>
          </w:p>
        </w:tc>
      </w:tr>
      <w:tr w:rsidR="006649AB" w:rsidRPr="006649AB" w:rsidTr="00643B23">
        <w:trPr>
          <w:trHeight w:val="99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698" w:type="dxa"/>
            <w:gridSpan w:val="2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Hiệu chuẩn thiết bị ghi đo bức xạ với nguồn tia Alpha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464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913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238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813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490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179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312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373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359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098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725</w:t>
            </w:r>
          </w:p>
        </w:tc>
      </w:tr>
      <w:tr w:rsidR="006649AB" w:rsidRPr="006649AB" w:rsidTr="00643B23">
        <w:trPr>
          <w:trHeight w:val="99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698" w:type="dxa"/>
            <w:gridSpan w:val="2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định thiết bị X-quang tổng hợp dùng trong y tế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715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250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110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514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199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779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184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463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531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640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414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213</w:t>
            </w:r>
          </w:p>
        </w:tc>
      </w:tr>
      <w:tr w:rsidR="006649AB" w:rsidRPr="006649AB" w:rsidTr="00643B23">
        <w:trPr>
          <w:trHeight w:val="99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2698" w:type="dxa"/>
            <w:gridSpan w:val="2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định thiết bị X-quang di động dùng trong y tế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967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591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110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514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237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630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222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314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821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831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704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404</w:t>
            </w:r>
          </w:p>
        </w:tc>
      </w:tr>
      <w:tr w:rsidR="006649AB" w:rsidRPr="006649AB" w:rsidTr="00643B23">
        <w:trPr>
          <w:trHeight w:val="99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698" w:type="dxa"/>
            <w:gridSpan w:val="2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định thiết bị X-quang tăng sáng truyền hình dùng trong y tế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288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023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144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046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514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291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985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270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378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238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554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072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901</w:t>
            </w:r>
          </w:p>
        </w:tc>
      </w:tr>
      <w:tr w:rsidR="006649AB" w:rsidRPr="006649AB" w:rsidTr="00643B23">
        <w:trPr>
          <w:trHeight w:val="99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698" w:type="dxa"/>
            <w:gridSpan w:val="2"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định thiết bị chụp cắt lớp vi tính dùng trong y tế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287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450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254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750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481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303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495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265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283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326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796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033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833</w:t>
            </w:r>
          </w:p>
        </w:tc>
      </w:tr>
      <w:tr w:rsidR="006649AB" w:rsidRPr="006649AB" w:rsidTr="00643B23">
        <w:trPr>
          <w:trHeight w:val="1035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698" w:type="dxa"/>
            <w:gridSpan w:val="2"/>
            <w:noWrap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định thiết bị X-quang chụp vú dùng trong y tế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643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725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164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099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563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150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805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646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181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031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176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620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387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907</w:t>
            </w:r>
          </w:p>
        </w:tc>
      </w:tr>
      <w:tr w:rsidR="006649AB" w:rsidRPr="006649AB" w:rsidTr="00643B23">
        <w:trPr>
          <w:trHeight w:val="1035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698" w:type="dxa"/>
            <w:gridSpan w:val="2"/>
            <w:noWrap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định thiết bị X-quang chụp răng dùng trong y tế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715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250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142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785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452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196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640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175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223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507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576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373</w:t>
            </w:r>
          </w:p>
        </w:tc>
      </w:tr>
      <w:tr w:rsidR="006649AB" w:rsidRPr="006649AB" w:rsidTr="00643B23">
        <w:trPr>
          <w:trHeight w:val="1125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2698" w:type="dxa"/>
            <w:gridSpan w:val="2"/>
            <w:noWrap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định máy gia tốc tuyến tính dùng trong xạ trị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792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177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161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756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756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407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832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227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13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465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783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380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403</w:t>
            </w:r>
          </w:p>
        </w:tc>
      </w:tr>
      <w:tr w:rsidR="006649AB" w:rsidRPr="006649AB" w:rsidTr="00643B23">
        <w:trPr>
          <w:trHeight w:val="1320"/>
        </w:trPr>
        <w:tc>
          <w:tcPr>
            <w:tcW w:w="917" w:type="dxa"/>
            <w:noWrap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2698" w:type="dxa"/>
            <w:gridSpan w:val="2"/>
            <w:noWrap/>
            <w:vAlign w:val="center"/>
            <w:hideMark/>
          </w:tcPr>
          <w:p w:rsidR="006649AB" w:rsidRPr="008A6F6A" w:rsidRDefault="006649AB" w:rsidP="00643B2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Kiểm định thiết bị xạ trị áp sát nạp nguồn sau bằng điều khiển từ xa dùng trong y tế</w:t>
            </w:r>
          </w:p>
        </w:tc>
        <w:tc>
          <w:tcPr>
            <w:tcW w:w="1347" w:type="dxa"/>
            <w:vAlign w:val="center"/>
            <w:hideMark/>
          </w:tcPr>
          <w:p w:rsidR="006649AB" w:rsidRPr="008A6F6A" w:rsidRDefault="006649AB" w:rsidP="008A6F6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Thiết bị</w:t>
            </w:r>
          </w:p>
        </w:tc>
        <w:tc>
          <w:tcPr>
            <w:tcW w:w="1476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398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789</w:t>
            </w:r>
          </w:p>
        </w:tc>
        <w:tc>
          <w:tcPr>
            <w:tcW w:w="1348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342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896</w:t>
            </w:r>
          </w:p>
        </w:tc>
        <w:tc>
          <w:tcPr>
            <w:tcW w:w="1459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551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170</w:t>
            </w:r>
          </w:p>
        </w:tc>
        <w:tc>
          <w:tcPr>
            <w:tcW w:w="1350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943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928</w:t>
            </w:r>
          </w:p>
        </w:tc>
        <w:tc>
          <w:tcPr>
            <w:tcW w:w="1341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742</w:t>
            </w:r>
            <w:r w:rsidR="00BA49A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sz w:val="25"/>
                <w:szCs w:val="25"/>
              </w:rPr>
              <w:t>494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236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783</w:t>
            </w:r>
          </w:p>
        </w:tc>
        <w:tc>
          <w:tcPr>
            <w:tcW w:w="1514" w:type="dxa"/>
            <w:noWrap/>
            <w:vAlign w:val="center"/>
            <w:hideMark/>
          </w:tcPr>
          <w:p w:rsidR="006649AB" w:rsidRPr="008A6F6A" w:rsidRDefault="006649AB" w:rsidP="000F0A10">
            <w:pPr>
              <w:jc w:val="right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5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692</w:t>
            </w:r>
            <w:r w:rsidR="00BA49A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8A6F6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453</w:t>
            </w:r>
          </w:p>
        </w:tc>
      </w:tr>
    </w:tbl>
    <w:p w:rsidR="0060188C" w:rsidRPr="0060188C" w:rsidRDefault="0060188C" w:rsidP="006018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0188C" w:rsidRPr="0060188C" w:rsidSect="00643B23">
      <w:headerReference w:type="default" r:id="rId7"/>
      <w:pgSz w:w="16840" w:h="11907" w:orient="landscape" w:code="9"/>
      <w:pgMar w:top="1701" w:right="1134" w:bottom="56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A5" w:rsidRDefault="002149A5" w:rsidP="0060188C">
      <w:pPr>
        <w:spacing w:after="0" w:line="240" w:lineRule="auto"/>
      </w:pPr>
      <w:r>
        <w:separator/>
      </w:r>
    </w:p>
  </w:endnote>
  <w:endnote w:type="continuationSeparator" w:id="0">
    <w:p w:rsidR="002149A5" w:rsidRDefault="002149A5" w:rsidP="0060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A5" w:rsidRDefault="002149A5" w:rsidP="0060188C">
      <w:pPr>
        <w:spacing w:after="0" w:line="240" w:lineRule="auto"/>
      </w:pPr>
      <w:r>
        <w:separator/>
      </w:r>
    </w:p>
  </w:footnote>
  <w:footnote w:type="continuationSeparator" w:id="0">
    <w:p w:rsidR="002149A5" w:rsidRDefault="002149A5" w:rsidP="0060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8C" w:rsidRPr="0060188C" w:rsidRDefault="0060188C" w:rsidP="0060188C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60188C">
      <w:rPr>
        <w:rFonts w:ascii="Times New Roman" w:hAnsi="Times New Roman" w:cs="Times New Roman"/>
        <w:sz w:val="28"/>
        <w:szCs w:val="28"/>
      </w:rPr>
      <w:fldChar w:fldCharType="begin"/>
    </w:r>
    <w:r w:rsidRPr="0060188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60188C">
      <w:rPr>
        <w:rFonts w:ascii="Times New Roman" w:hAnsi="Times New Roman" w:cs="Times New Roman"/>
        <w:sz w:val="28"/>
        <w:szCs w:val="28"/>
      </w:rPr>
      <w:fldChar w:fldCharType="separate"/>
    </w:r>
    <w:r w:rsidR="00BA49AB">
      <w:rPr>
        <w:rFonts w:ascii="Times New Roman" w:hAnsi="Times New Roman" w:cs="Times New Roman"/>
        <w:noProof/>
        <w:sz w:val="28"/>
        <w:szCs w:val="28"/>
      </w:rPr>
      <w:t>5</w:t>
    </w:r>
    <w:r w:rsidRPr="0060188C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FD"/>
    <w:rsid w:val="000F0A10"/>
    <w:rsid w:val="002149A5"/>
    <w:rsid w:val="00235DD3"/>
    <w:rsid w:val="004E66BB"/>
    <w:rsid w:val="0057722C"/>
    <w:rsid w:val="00592F9A"/>
    <w:rsid w:val="0060188C"/>
    <w:rsid w:val="00643B23"/>
    <w:rsid w:val="006649AB"/>
    <w:rsid w:val="00783735"/>
    <w:rsid w:val="008A6F6A"/>
    <w:rsid w:val="00BA49AB"/>
    <w:rsid w:val="00BD4330"/>
    <w:rsid w:val="00D43F5D"/>
    <w:rsid w:val="00E234C4"/>
    <w:rsid w:val="00EA7514"/>
    <w:rsid w:val="00EB1DF7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88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88C"/>
    <w:rPr>
      <w:color w:val="954F72"/>
      <w:u w:val="single"/>
    </w:rPr>
  </w:style>
  <w:style w:type="paragraph" w:customStyle="1" w:styleId="xl65">
    <w:name w:val="xl65"/>
    <w:basedOn w:val="Normal"/>
    <w:rsid w:val="0060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6">
    <w:name w:val="xl66"/>
    <w:basedOn w:val="Normal"/>
    <w:rsid w:val="006018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Normal"/>
    <w:rsid w:val="0060188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6018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Normal"/>
    <w:rsid w:val="006018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70">
    <w:name w:val="xl70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Normal"/>
    <w:rsid w:val="006018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Normal"/>
    <w:rsid w:val="006018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4">
    <w:name w:val="xl84"/>
    <w:basedOn w:val="Normal"/>
    <w:rsid w:val="006018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Normal"/>
    <w:rsid w:val="006018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6">
    <w:name w:val="xl86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0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88C"/>
  </w:style>
  <w:style w:type="paragraph" w:styleId="Footer">
    <w:name w:val="footer"/>
    <w:basedOn w:val="Normal"/>
    <w:link w:val="FooterChar"/>
    <w:uiPriority w:val="99"/>
    <w:unhideWhenUsed/>
    <w:rsid w:val="0060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88C"/>
  </w:style>
  <w:style w:type="table" w:styleId="TableGrid">
    <w:name w:val="Table Grid"/>
    <w:basedOn w:val="TableNormal"/>
    <w:uiPriority w:val="59"/>
    <w:rsid w:val="0066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188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88C"/>
    <w:rPr>
      <w:color w:val="954F72"/>
      <w:u w:val="single"/>
    </w:rPr>
  </w:style>
  <w:style w:type="paragraph" w:customStyle="1" w:styleId="xl65">
    <w:name w:val="xl65"/>
    <w:basedOn w:val="Normal"/>
    <w:rsid w:val="0060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6">
    <w:name w:val="xl66"/>
    <w:basedOn w:val="Normal"/>
    <w:rsid w:val="006018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Normal"/>
    <w:rsid w:val="0060188C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Normal"/>
    <w:rsid w:val="006018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Normal"/>
    <w:rsid w:val="006018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70">
    <w:name w:val="xl70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2">
    <w:name w:val="xl72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4">
    <w:name w:val="xl74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9">
    <w:name w:val="xl79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0">
    <w:name w:val="xl80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1">
    <w:name w:val="xl81"/>
    <w:basedOn w:val="Normal"/>
    <w:rsid w:val="006018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Normal"/>
    <w:rsid w:val="006018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4">
    <w:name w:val="xl84"/>
    <w:basedOn w:val="Normal"/>
    <w:rsid w:val="006018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5">
    <w:name w:val="xl85"/>
    <w:basedOn w:val="Normal"/>
    <w:rsid w:val="006018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6">
    <w:name w:val="xl86"/>
    <w:basedOn w:val="Normal"/>
    <w:rsid w:val="0060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0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88C"/>
  </w:style>
  <w:style w:type="paragraph" w:styleId="Footer">
    <w:name w:val="footer"/>
    <w:basedOn w:val="Normal"/>
    <w:link w:val="FooterChar"/>
    <w:uiPriority w:val="99"/>
    <w:unhideWhenUsed/>
    <w:rsid w:val="00601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88C"/>
  </w:style>
  <w:style w:type="table" w:styleId="TableGrid">
    <w:name w:val="Table Grid"/>
    <w:basedOn w:val="TableNormal"/>
    <w:uiPriority w:val="59"/>
    <w:rsid w:val="0066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</dc:creator>
  <cp:lastModifiedBy>AutoBVT</cp:lastModifiedBy>
  <cp:revision>10</cp:revision>
  <dcterms:created xsi:type="dcterms:W3CDTF">2023-08-29T07:27:00Z</dcterms:created>
  <dcterms:modified xsi:type="dcterms:W3CDTF">2024-07-04T08:25:00Z</dcterms:modified>
</cp:coreProperties>
</file>